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DA743C">
        <w:rPr>
          <w:rFonts w:cstheme="minorHAnsi"/>
        </w:rPr>
        <w:t xml:space="preserve">1 </w:t>
      </w:r>
      <w:r w:rsidR="00BF36D2">
        <w:rPr>
          <w:rFonts w:cstheme="minorHAnsi"/>
        </w:rPr>
        <w:t>полугодие</w:t>
      </w:r>
      <w:r w:rsidR="00DA743C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DA743C">
        <w:rPr>
          <w:rFonts w:cstheme="minorHAnsi"/>
        </w:rPr>
        <w:t>20</w:t>
      </w:r>
      <w:r>
        <w:rPr>
          <w:rFonts w:cstheme="minorHAnsi"/>
        </w:rPr>
        <w:t xml:space="preserve"> год</w:t>
      </w:r>
      <w:r w:rsidR="00E450CB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A743C" w:rsidRDefault="00BF36D2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1 полугодие</w:t>
            </w:r>
          </w:p>
          <w:p w:rsidR="00DD051C" w:rsidRPr="00E17422" w:rsidRDefault="00B179C6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</w:t>
            </w:r>
            <w:r w:rsidR="00DA743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год</w:t>
            </w:r>
            <w:r w:rsidR="00DA743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F36D2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17 925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F36D2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17 222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A19B1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DA743C">
              <w:rPr>
                <w:rFonts w:ascii="Calibri" w:hAnsi="Calibri"/>
                <w:color w:val="000000"/>
              </w:rPr>
              <w:t>6</w:t>
            </w:r>
            <w:r w:rsidR="00F14956">
              <w:rPr>
                <w:rFonts w:ascii="Calibri" w:hAnsi="Calibri"/>
                <w:color w:val="000000"/>
              </w:rPr>
              <w:t>,1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F36D2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F14956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F36D2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F36D2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E0FE1"/>
    <w:rsid w:val="002836FA"/>
    <w:rsid w:val="002D191E"/>
    <w:rsid w:val="002F0ADD"/>
    <w:rsid w:val="00310092"/>
    <w:rsid w:val="0033316F"/>
    <w:rsid w:val="00335C08"/>
    <w:rsid w:val="003A7F7F"/>
    <w:rsid w:val="003D0262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A033E"/>
    <w:rsid w:val="009B31E9"/>
    <w:rsid w:val="00A561FF"/>
    <w:rsid w:val="00B179C6"/>
    <w:rsid w:val="00BC2787"/>
    <w:rsid w:val="00BF36D2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полугодие 2020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484.97296594999995</c:v>
                </c:pt>
                <c:pt idx="1">
                  <c:v>17221.734478810191</c:v>
                </c:pt>
                <c:pt idx="2">
                  <c:v>119.79888600000001</c:v>
                </c:pt>
                <c:pt idx="3">
                  <c:v>98.2619799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D52D-2AA7-4EBB-A93B-8E85B4FC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15</cp:revision>
  <dcterms:created xsi:type="dcterms:W3CDTF">2018-05-16T12:25:00Z</dcterms:created>
  <dcterms:modified xsi:type="dcterms:W3CDTF">2020-08-17T14:39:00Z</dcterms:modified>
</cp:coreProperties>
</file>